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1C" w:rsidRPr="00E8121C" w:rsidRDefault="00E8121C" w:rsidP="00E8121C">
      <w:pPr>
        <w:kinsoku w:val="0"/>
        <w:overflowPunct w:val="0"/>
        <w:jc w:val="center"/>
        <w:textAlignment w:val="baseline"/>
        <w:rPr>
          <w:rFonts w:eastAsia="+mn-ea"/>
          <w:b/>
          <w:szCs w:val="28"/>
        </w:rPr>
      </w:pPr>
      <w:r w:rsidRPr="00E8121C">
        <w:rPr>
          <w:rFonts w:eastAsia="+mn-ea"/>
          <w:b/>
          <w:szCs w:val="28"/>
        </w:rPr>
        <w:t xml:space="preserve">TÀI LIỆU </w:t>
      </w:r>
      <w:r w:rsidR="0048522E">
        <w:rPr>
          <w:rFonts w:eastAsia="+mn-ea"/>
          <w:b/>
          <w:szCs w:val="28"/>
        </w:rPr>
        <w:t>PHỤC VỤ TẬP HUẤN VỀ ĐĂNG KÝ GIÁ, KÊ KHAI GIÁ VÀ KIỂM TRA YẾU TỐ HÌNH THÀNH GIÁ</w:t>
      </w:r>
    </w:p>
    <w:p w:rsidR="0048522E" w:rsidRDefault="0048522E" w:rsidP="0048522E">
      <w:pPr>
        <w:kinsoku w:val="0"/>
        <w:overflowPunct w:val="0"/>
        <w:textAlignment w:val="baseline"/>
        <w:rPr>
          <w:rFonts w:eastAsia="+mn-ea"/>
          <w:szCs w:val="28"/>
        </w:rPr>
      </w:pPr>
    </w:p>
    <w:p w:rsidR="00E8121C" w:rsidRPr="00E8121C" w:rsidRDefault="0048522E" w:rsidP="0048522E">
      <w:pPr>
        <w:kinsoku w:val="0"/>
        <w:overflowPunct w:val="0"/>
        <w:textAlignment w:val="baseline"/>
        <w:rPr>
          <w:szCs w:val="28"/>
        </w:rPr>
      </w:pPr>
      <w:r>
        <w:rPr>
          <w:rFonts w:eastAsia="+mn-ea"/>
          <w:szCs w:val="28"/>
        </w:rPr>
        <w:t xml:space="preserve">1. </w:t>
      </w:r>
      <w:r w:rsidR="00E8121C" w:rsidRPr="00E8121C">
        <w:rPr>
          <w:rFonts w:eastAsia="+mn-ea"/>
          <w:szCs w:val="28"/>
        </w:rPr>
        <w:t xml:space="preserve">Luật giá </w:t>
      </w:r>
      <w:r>
        <w:rPr>
          <w:rFonts w:eastAsia="+mn-ea"/>
          <w:szCs w:val="28"/>
        </w:rPr>
        <w:t>giá số 11/2012/QH</w:t>
      </w:r>
      <w:r w:rsidR="00E8121C" w:rsidRPr="00E8121C">
        <w:rPr>
          <w:rFonts w:eastAsia="+mn-ea"/>
          <w:szCs w:val="28"/>
        </w:rPr>
        <w:t>13</w:t>
      </w:r>
      <w:r>
        <w:rPr>
          <w:rFonts w:eastAsia="+mn-ea"/>
          <w:szCs w:val="28"/>
        </w:rPr>
        <w:t>;</w:t>
      </w:r>
    </w:p>
    <w:p w:rsidR="0048522E" w:rsidRDefault="0048522E" w:rsidP="00E8121C">
      <w:pPr>
        <w:kinsoku w:val="0"/>
        <w:overflowPunct w:val="0"/>
        <w:textAlignment w:val="baseline"/>
        <w:rPr>
          <w:rFonts w:eastAsia="+mn-ea"/>
          <w:szCs w:val="28"/>
        </w:rPr>
      </w:pPr>
      <w:r>
        <w:rPr>
          <w:rFonts w:eastAsia="+mn-ea"/>
          <w:szCs w:val="28"/>
        </w:rPr>
        <w:t>2.</w:t>
      </w:r>
      <w:r w:rsidR="00E8121C" w:rsidRPr="00E8121C">
        <w:rPr>
          <w:rFonts w:eastAsia="+mn-ea"/>
          <w:szCs w:val="28"/>
        </w:rPr>
        <w:t xml:space="preserve"> </w:t>
      </w:r>
      <w:r>
        <w:rPr>
          <w:rFonts w:eastAsia="+mn-ea"/>
          <w:szCs w:val="28"/>
        </w:rPr>
        <w:t>Nghị định số 177/2013/NĐ-CP ngày 14/11/2013 của Chính phủ quy định chi tiết và hướng dẫn thi hành một số điều của Luật giá;</w:t>
      </w:r>
    </w:p>
    <w:p w:rsidR="0048522E" w:rsidRDefault="0048522E" w:rsidP="00E8121C">
      <w:pPr>
        <w:kinsoku w:val="0"/>
        <w:overflowPunct w:val="0"/>
        <w:textAlignment w:val="baseline"/>
        <w:rPr>
          <w:rFonts w:eastAsia="+mn-ea"/>
          <w:szCs w:val="28"/>
        </w:rPr>
      </w:pPr>
      <w:r>
        <w:rPr>
          <w:rFonts w:eastAsia="+mn-ea"/>
          <w:szCs w:val="28"/>
        </w:rPr>
        <w:t>3. Nghị định số 149/2016/NĐ-CP ngày 11/11/2016 của Chính phủ sửa đổi, bổ sung một số điều của Nghị định số 177/2013/NĐ-CP;</w:t>
      </w:r>
    </w:p>
    <w:p w:rsidR="0048522E" w:rsidRDefault="0048522E" w:rsidP="00E8121C">
      <w:pPr>
        <w:kinsoku w:val="0"/>
        <w:overflowPunct w:val="0"/>
        <w:textAlignment w:val="baseline"/>
        <w:rPr>
          <w:rFonts w:eastAsia="+mn-ea"/>
          <w:szCs w:val="28"/>
        </w:rPr>
      </w:pPr>
      <w:r>
        <w:rPr>
          <w:rFonts w:eastAsia="+mn-ea"/>
          <w:szCs w:val="28"/>
        </w:rPr>
        <w:t>4. Thông tư số 56/2014/TT-BTC ngày 28/4/2014 của Bộ Tài chính hướng dẫn thực hiện Nghị định số 177/2013/NĐ-CP ngày 14/11/2013 của Chính phủ quy định chi tiết và hướng dẫn thi hành một số điều của Luật giá;</w:t>
      </w:r>
    </w:p>
    <w:p w:rsidR="0048522E" w:rsidRDefault="0048522E" w:rsidP="00E8121C">
      <w:pPr>
        <w:kinsoku w:val="0"/>
        <w:overflowPunct w:val="0"/>
        <w:textAlignment w:val="baseline"/>
        <w:rPr>
          <w:rFonts w:eastAsia="+mn-ea"/>
          <w:szCs w:val="28"/>
        </w:rPr>
      </w:pPr>
      <w:r>
        <w:rPr>
          <w:rFonts w:eastAsia="+mn-ea"/>
          <w:szCs w:val="28"/>
        </w:rPr>
        <w:t>5. Thông tư số 233/2016/TT-BTC ngày 11/11/2016 sửa đổi, bổ sung một số điều của Thông tư số 56/2014/TT-BTC;</w:t>
      </w:r>
    </w:p>
    <w:p w:rsidR="001F49ED" w:rsidRDefault="0048522E" w:rsidP="001F49ED">
      <w:pPr>
        <w:kinsoku w:val="0"/>
        <w:overflowPunct w:val="0"/>
        <w:textAlignment w:val="baseline"/>
        <w:rPr>
          <w:rFonts w:eastAsia="+mn-ea"/>
          <w:szCs w:val="28"/>
        </w:rPr>
      </w:pPr>
      <w:r>
        <w:rPr>
          <w:rFonts w:eastAsia="+mn-ea"/>
          <w:szCs w:val="28"/>
        </w:rPr>
        <w:t xml:space="preserve">6. </w:t>
      </w:r>
      <w:r w:rsidRPr="00E8121C">
        <w:rPr>
          <w:rFonts w:eastAsia="+mn-ea"/>
          <w:szCs w:val="28"/>
          <w:lang w:val="nl-NL"/>
        </w:rPr>
        <w:t>Thông tư số 25/2014/TT-BTC ngày 17/02/2014 quy định phương pháp định giá chung đối với hàng hóa, dịch vụ</w:t>
      </w:r>
      <w:r w:rsidR="001F49ED">
        <w:rPr>
          <w:rFonts w:eastAsia="+mn-ea"/>
          <w:szCs w:val="28"/>
        </w:rPr>
        <w:t>;</w:t>
      </w:r>
    </w:p>
    <w:p w:rsidR="001F49ED" w:rsidRDefault="001F49ED" w:rsidP="001F49ED">
      <w:pPr>
        <w:kinsoku w:val="0"/>
        <w:overflowPunct w:val="0"/>
        <w:textAlignment w:val="baseline"/>
        <w:rPr>
          <w:rFonts w:eastAsia="+mn-ea"/>
          <w:szCs w:val="28"/>
        </w:rPr>
      </w:pPr>
      <w:r>
        <w:rPr>
          <w:rFonts w:eastAsia="+mn-ea"/>
          <w:szCs w:val="28"/>
        </w:rPr>
        <w:t>7. Quyết định số 62/2017/QĐ-UBND ngày 12/12/2017 của Ủy ban nhân dân thành phố Hồ Chí Minh về việc ban hành Quy định về cơ chế quản lý, điều hành về giá tại thành phố Hồ Chí Minh;</w:t>
      </w:r>
    </w:p>
    <w:p w:rsidR="00E8121C" w:rsidRPr="001F49ED" w:rsidRDefault="001F49ED" w:rsidP="001F49ED">
      <w:pPr>
        <w:kinsoku w:val="0"/>
        <w:overflowPunct w:val="0"/>
        <w:textAlignment w:val="baseline"/>
        <w:rPr>
          <w:rFonts w:eastAsia="+mn-ea"/>
          <w:szCs w:val="28"/>
        </w:rPr>
      </w:pPr>
      <w:r>
        <w:rPr>
          <w:rFonts w:eastAsia="+mn-ea"/>
          <w:szCs w:val="28"/>
        </w:rPr>
        <w:t>8. Quyết định số 3112/QĐ-UBND ngày 16/6/2017 của Ủy ban nhân dân thành phố Hồ Chí Minh về việc ban hành danh mục hàng hóa, dịch vụ kê khai giá trên địa bàn thành phố Hồ Chí Minh.</w:t>
      </w:r>
      <w:r w:rsidR="00E8121C" w:rsidRPr="00E8121C">
        <w:rPr>
          <w:rFonts w:eastAsia="+mn-ea"/>
          <w:szCs w:val="28"/>
        </w:rPr>
        <w:tab/>
      </w:r>
    </w:p>
    <w:sectPr w:rsidR="00E8121C" w:rsidRPr="001F49ED" w:rsidSect="00710D38">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3705D"/>
    <w:multiLevelType w:val="hybridMultilevel"/>
    <w:tmpl w:val="F838332E"/>
    <w:lvl w:ilvl="0" w:tplc="F5148616">
      <w:start w:val="1"/>
      <w:numFmt w:val="bullet"/>
      <w:lvlText w:val="•"/>
      <w:lvlJc w:val="left"/>
      <w:pPr>
        <w:tabs>
          <w:tab w:val="num" w:pos="720"/>
        </w:tabs>
        <w:ind w:left="720" w:hanging="360"/>
      </w:pPr>
      <w:rPr>
        <w:rFonts w:ascii="Times New Roman" w:hAnsi="Times New Roman" w:hint="default"/>
      </w:rPr>
    </w:lvl>
    <w:lvl w:ilvl="1" w:tplc="7602C912" w:tentative="1">
      <w:start w:val="1"/>
      <w:numFmt w:val="bullet"/>
      <w:lvlText w:val="•"/>
      <w:lvlJc w:val="left"/>
      <w:pPr>
        <w:tabs>
          <w:tab w:val="num" w:pos="1440"/>
        </w:tabs>
        <w:ind w:left="1440" w:hanging="360"/>
      </w:pPr>
      <w:rPr>
        <w:rFonts w:ascii="Times New Roman" w:hAnsi="Times New Roman" w:hint="default"/>
      </w:rPr>
    </w:lvl>
    <w:lvl w:ilvl="2" w:tplc="2DC2BBA8" w:tentative="1">
      <w:start w:val="1"/>
      <w:numFmt w:val="bullet"/>
      <w:lvlText w:val="•"/>
      <w:lvlJc w:val="left"/>
      <w:pPr>
        <w:tabs>
          <w:tab w:val="num" w:pos="2160"/>
        </w:tabs>
        <w:ind w:left="2160" w:hanging="360"/>
      </w:pPr>
      <w:rPr>
        <w:rFonts w:ascii="Times New Roman" w:hAnsi="Times New Roman" w:hint="default"/>
      </w:rPr>
    </w:lvl>
    <w:lvl w:ilvl="3" w:tplc="A1584960" w:tentative="1">
      <w:start w:val="1"/>
      <w:numFmt w:val="bullet"/>
      <w:lvlText w:val="•"/>
      <w:lvlJc w:val="left"/>
      <w:pPr>
        <w:tabs>
          <w:tab w:val="num" w:pos="2880"/>
        </w:tabs>
        <w:ind w:left="2880" w:hanging="360"/>
      </w:pPr>
      <w:rPr>
        <w:rFonts w:ascii="Times New Roman" w:hAnsi="Times New Roman" w:hint="default"/>
      </w:rPr>
    </w:lvl>
    <w:lvl w:ilvl="4" w:tplc="401CD354" w:tentative="1">
      <w:start w:val="1"/>
      <w:numFmt w:val="bullet"/>
      <w:lvlText w:val="•"/>
      <w:lvlJc w:val="left"/>
      <w:pPr>
        <w:tabs>
          <w:tab w:val="num" w:pos="3600"/>
        </w:tabs>
        <w:ind w:left="3600" w:hanging="360"/>
      </w:pPr>
      <w:rPr>
        <w:rFonts w:ascii="Times New Roman" w:hAnsi="Times New Roman" w:hint="default"/>
      </w:rPr>
    </w:lvl>
    <w:lvl w:ilvl="5" w:tplc="E8466730" w:tentative="1">
      <w:start w:val="1"/>
      <w:numFmt w:val="bullet"/>
      <w:lvlText w:val="•"/>
      <w:lvlJc w:val="left"/>
      <w:pPr>
        <w:tabs>
          <w:tab w:val="num" w:pos="4320"/>
        </w:tabs>
        <w:ind w:left="4320" w:hanging="360"/>
      </w:pPr>
      <w:rPr>
        <w:rFonts w:ascii="Times New Roman" w:hAnsi="Times New Roman" w:hint="default"/>
      </w:rPr>
    </w:lvl>
    <w:lvl w:ilvl="6" w:tplc="2926F8FC" w:tentative="1">
      <w:start w:val="1"/>
      <w:numFmt w:val="bullet"/>
      <w:lvlText w:val="•"/>
      <w:lvlJc w:val="left"/>
      <w:pPr>
        <w:tabs>
          <w:tab w:val="num" w:pos="5040"/>
        </w:tabs>
        <w:ind w:left="5040" w:hanging="360"/>
      </w:pPr>
      <w:rPr>
        <w:rFonts w:ascii="Times New Roman" w:hAnsi="Times New Roman" w:hint="default"/>
      </w:rPr>
    </w:lvl>
    <w:lvl w:ilvl="7" w:tplc="708E7D42" w:tentative="1">
      <w:start w:val="1"/>
      <w:numFmt w:val="bullet"/>
      <w:lvlText w:val="•"/>
      <w:lvlJc w:val="left"/>
      <w:pPr>
        <w:tabs>
          <w:tab w:val="num" w:pos="5760"/>
        </w:tabs>
        <w:ind w:left="5760" w:hanging="360"/>
      </w:pPr>
      <w:rPr>
        <w:rFonts w:ascii="Times New Roman" w:hAnsi="Times New Roman" w:hint="default"/>
      </w:rPr>
    </w:lvl>
    <w:lvl w:ilvl="8" w:tplc="DDC0BC96" w:tentative="1">
      <w:start w:val="1"/>
      <w:numFmt w:val="bullet"/>
      <w:lvlText w:val="•"/>
      <w:lvlJc w:val="left"/>
      <w:pPr>
        <w:tabs>
          <w:tab w:val="num" w:pos="6480"/>
        </w:tabs>
        <w:ind w:left="6480" w:hanging="360"/>
      </w:pPr>
      <w:rPr>
        <w:rFonts w:ascii="Times New Roman" w:hAnsi="Times New Roman" w:hint="default"/>
      </w:rPr>
    </w:lvl>
  </w:abstractNum>
  <w:abstractNum w:abstractNumId="1">
    <w:nsid w:val="501E662D"/>
    <w:multiLevelType w:val="hybridMultilevel"/>
    <w:tmpl w:val="58FA0B96"/>
    <w:lvl w:ilvl="0" w:tplc="E4B47F48">
      <w:start w:val="1"/>
      <w:numFmt w:val="bullet"/>
      <w:lvlText w:val="•"/>
      <w:lvlJc w:val="left"/>
      <w:pPr>
        <w:tabs>
          <w:tab w:val="num" w:pos="720"/>
        </w:tabs>
        <w:ind w:left="720" w:hanging="360"/>
      </w:pPr>
      <w:rPr>
        <w:rFonts w:ascii="Times New Roman" w:hAnsi="Times New Roman" w:hint="default"/>
      </w:rPr>
    </w:lvl>
    <w:lvl w:ilvl="1" w:tplc="5420A1F4" w:tentative="1">
      <w:start w:val="1"/>
      <w:numFmt w:val="bullet"/>
      <w:lvlText w:val="•"/>
      <w:lvlJc w:val="left"/>
      <w:pPr>
        <w:tabs>
          <w:tab w:val="num" w:pos="1440"/>
        </w:tabs>
        <w:ind w:left="1440" w:hanging="360"/>
      </w:pPr>
      <w:rPr>
        <w:rFonts w:ascii="Times New Roman" w:hAnsi="Times New Roman" w:hint="default"/>
      </w:rPr>
    </w:lvl>
    <w:lvl w:ilvl="2" w:tplc="C090E34E" w:tentative="1">
      <w:start w:val="1"/>
      <w:numFmt w:val="bullet"/>
      <w:lvlText w:val="•"/>
      <w:lvlJc w:val="left"/>
      <w:pPr>
        <w:tabs>
          <w:tab w:val="num" w:pos="2160"/>
        </w:tabs>
        <w:ind w:left="2160" w:hanging="360"/>
      </w:pPr>
      <w:rPr>
        <w:rFonts w:ascii="Times New Roman" w:hAnsi="Times New Roman" w:hint="default"/>
      </w:rPr>
    </w:lvl>
    <w:lvl w:ilvl="3" w:tplc="EE1E8008" w:tentative="1">
      <w:start w:val="1"/>
      <w:numFmt w:val="bullet"/>
      <w:lvlText w:val="•"/>
      <w:lvlJc w:val="left"/>
      <w:pPr>
        <w:tabs>
          <w:tab w:val="num" w:pos="2880"/>
        </w:tabs>
        <w:ind w:left="2880" w:hanging="360"/>
      </w:pPr>
      <w:rPr>
        <w:rFonts w:ascii="Times New Roman" w:hAnsi="Times New Roman" w:hint="default"/>
      </w:rPr>
    </w:lvl>
    <w:lvl w:ilvl="4" w:tplc="485E9972" w:tentative="1">
      <w:start w:val="1"/>
      <w:numFmt w:val="bullet"/>
      <w:lvlText w:val="•"/>
      <w:lvlJc w:val="left"/>
      <w:pPr>
        <w:tabs>
          <w:tab w:val="num" w:pos="3600"/>
        </w:tabs>
        <w:ind w:left="3600" w:hanging="360"/>
      </w:pPr>
      <w:rPr>
        <w:rFonts w:ascii="Times New Roman" w:hAnsi="Times New Roman" w:hint="default"/>
      </w:rPr>
    </w:lvl>
    <w:lvl w:ilvl="5" w:tplc="55AE481C" w:tentative="1">
      <w:start w:val="1"/>
      <w:numFmt w:val="bullet"/>
      <w:lvlText w:val="•"/>
      <w:lvlJc w:val="left"/>
      <w:pPr>
        <w:tabs>
          <w:tab w:val="num" w:pos="4320"/>
        </w:tabs>
        <w:ind w:left="4320" w:hanging="360"/>
      </w:pPr>
      <w:rPr>
        <w:rFonts w:ascii="Times New Roman" w:hAnsi="Times New Roman" w:hint="default"/>
      </w:rPr>
    </w:lvl>
    <w:lvl w:ilvl="6" w:tplc="EB9EA162" w:tentative="1">
      <w:start w:val="1"/>
      <w:numFmt w:val="bullet"/>
      <w:lvlText w:val="•"/>
      <w:lvlJc w:val="left"/>
      <w:pPr>
        <w:tabs>
          <w:tab w:val="num" w:pos="5040"/>
        </w:tabs>
        <w:ind w:left="5040" w:hanging="360"/>
      </w:pPr>
      <w:rPr>
        <w:rFonts w:ascii="Times New Roman" w:hAnsi="Times New Roman" w:hint="default"/>
      </w:rPr>
    </w:lvl>
    <w:lvl w:ilvl="7" w:tplc="A710A5CC" w:tentative="1">
      <w:start w:val="1"/>
      <w:numFmt w:val="bullet"/>
      <w:lvlText w:val="•"/>
      <w:lvlJc w:val="left"/>
      <w:pPr>
        <w:tabs>
          <w:tab w:val="num" w:pos="5760"/>
        </w:tabs>
        <w:ind w:left="5760" w:hanging="360"/>
      </w:pPr>
      <w:rPr>
        <w:rFonts w:ascii="Times New Roman" w:hAnsi="Times New Roman" w:hint="default"/>
      </w:rPr>
    </w:lvl>
    <w:lvl w:ilvl="8" w:tplc="2DC4338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E8121C"/>
    <w:rsid w:val="000C04EF"/>
    <w:rsid w:val="001F49ED"/>
    <w:rsid w:val="003B2D98"/>
    <w:rsid w:val="0048522E"/>
    <w:rsid w:val="00710D38"/>
    <w:rsid w:val="009816D1"/>
    <w:rsid w:val="00CC399A"/>
    <w:rsid w:val="00E81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1C"/>
    <w:pPr>
      <w:spacing w:before="0" w:after="0"/>
      <w:ind w:left="720" w:firstLine="0"/>
      <w:contextualSpacing/>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5122718">
      <w:bodyDiv w:val="1"/>
      <w:marLeft w:val="0"/>
      <w:marRight w:val="0"/>
      <w:marTop w:val="0"/>
      <w:marBottom w:val="0"/>
      <w:divBdr>
        <w:top w:val="none" w:sz="0" w:space="0" w:color="auto"/>
        <w:left w:val="none" w:sz="0" w:space="0" w:color="auto"/>
        <w:bottom w:val="none" w:sz="0" w:space="0" w:color="auto"/>
        <w:right w:val="none" w:sz="0" w:space="0" w:color="auto"/>
      </w:divBdr>
      <w:divsChild>
        <w:div w:id="545946406">
          <w:marLeft w:val="547"/>
          <w:marRight w:val="0"/>
          <w:marTop w:val="101"/>
          <w:marBottom w:val="0"/>
          <w:divBdr>
            <w:top w:val="none" w:sz="0" w:space="0" w:color="auto"/>
            <w:left w:val="none" w:sz="0" w:space="0" w:color="auto"/>
            <w:bottom w:val="none" w:sz="0" w:space="0" w:color="auto"/>
            <w:right w:val="none" w:sz="0" w:space="0" w:color="auto"/>
          </w:divBdr>
        </w:div>
        <w:div w:id="78257042">
          <w:marLeft w:val="547"/>
          <w:marRight w:val="0"/>
          <w:marTop w:val="115"/>
          <w:marBottom w:val="0"/>
          <w:divBdr>
            <w:top w:val="none" w:sz="0" w:space="0" w:color="auto"/>
            <w:left w:val="none" w:sz="0" w:space="0" w:color="auto"/>
            <w:bottom w:val="none" w:sz="0" w:space="0" w:color="auto"/>
            <w:right w:val="none" w:sz="0" w:space="0" w:color="auto"/>
          </w:divBdr>
        </w:div>
        <w:div w:id="1195188348">
          <w:marLeft w:val="547"/>
          <w:marRight w:val="0"/>
          <w:marTop w:val="101"/>
          <w:marBottom w:val="0"/>
          <w:divBdr>
            <w:top w:val="none" w:sz="0" w:space="0" w:color="auto"/>
            <w:left w:val="none" w:sz="0" w:space="0" w:color="auto"/>
            <w:bottom w:val="none" w:sz="0" w:space="0" w:color="auto"/>
            <w:right w:val="none" w:sz="0" w:space="0" w:color="auto"/>
          </w:divBdr>
        </w:div>
        <w:div w:id="1226138749">
          <w:marLeft w:val="547"/>
          <w:marRight w:val="0"/>
          <w:marTop w:val="101"/>
          <w:marBottom w:val="0"/>
          <w:divBdr>
            <w:top w:val="none" w:sz="0" w:space="0" w:color="auto"/>
            <w:left w:val="none" w:sz="0" w:space="0" w:color="auto"/>
            <w:bottom w:val="none" w:sz="0" w:space="0" w:color="auto"/>
            <w:right w:val="none" w:sz="0" w:space="0" w:color="auto"/>
          </w:divBdr>
        </w:div>
        <w:div w:id="866404802">
          <w:marLeft w:val="547"/>
          <w:marRight w:val="0"/>
          <w:marTop w:val="101"/>
          <w:marBottom w:val="0"/>
          <w:divBdr>
            <w:top w:val="none" w:sz="0" w:space="0" w:color="auto"/>
            <w:left w:val="none" w:sz="0" w:space="0" w:color="auto"/>
            <w:bottom w:val="none" w:sz="0" w:space="0" w:color="auto"/>
            <w:right w:val="none" w:sz="0" w:space="0" w:color="auto"/>
          </w:divBdr>
        </w:div>
      </w:divsChild>
    </w:div>
    <w:div w:id="1349793962">
      <w:bodyDiv w:val="1"/>
      <w:marLeft w:val="0"/>
      <w:marRight w:val="0"/>
      <w:marTop w:val="0"/>
      <w:marBottom w:val="0"/>
      <w:divBdr>
        <w:top w:val="none" w:sz="0" w:space="0" w:color="auto"/>
        <w:left w:val="none" w:sz="0" w:space="0" w:color="auto"/>
        <w:bottom w:val="none" w:sz="0" w:space="0" w:color="auto"/>
        <w:right w:val="none" w:sz="0" w:space="0" w:color="auto"/>
      </w:divBdr>
      <w:divsChild>
        <w:div w:id="799230554">
          <w:marLeft w:val="547"/>
          <w:marRight w:val="0"/>
          <w:marTop w:val="101"/>
          <w:marBottom w:val="0"/>
          <w:divBdr>
            <w:top w:val="none" w:sz="0" w:space="0" w:color="auto"/>
            <w:left w:val="none" w:sz="0" w:space="0" w:color="auto"/>
            <w:bottom w:val="none" w:sz="0" w:space="0" w:color="auto"/>
            <w:right w:val="none" w:sz="0" w:space="0" w:color="auto"/>
          </w:divBdr>
        </w:div>
        <w:div w:id="267474298">
          <w:marLeft w:val="547"/>
          <w:marRight w:val="0"/>
          <w:marTop w:val="101"/>
          <w:marBottom w:val="0"/>
          <w:divBdr>
            <w:top w:val="none" w:sz="0" w:space="0" w:color="auto"/>
            <w:left w:val="none" w:sz="0" w:space="0" w:color="auto"/>
            <w:bottom w:val="none" w:sz="0" w:space="0" w:color="auto"/>
            <w:right w:val="none" w:sz="0" w:space="0" w:color="auto"/>
          </w:divBdr>
        </w:div>
        <w:div w:id="1387408270">
          <w:marLeft w:val="547"/>
          <w:marRight w:val="0"/>
          <w:marTop w:val="101"/>
          <w:marBottom w:val="0"/>
          <w:divBdr>
            <w:top w:val="none" w:sz="0" w:space="0" w:color="auto"/>
            <w:left w:val="none" w:sz="0" w:space="0" w:color="auto"/>
            <w:bottom w:val="none" w:sz="0" w:space="0" w:color="auto"/>
            <w:right w:val="none" w:sz="0" w:space="0" w:color="auto"/>
          </w:divBdr>
        </w:div>
        <w:div w:id="1998225082">
          <w:marLeft w:val="547"/>
          <w:marRight w:val="0"/>
          <w:marTop w:val="101"/>
          <w:marBottom w:val="0"/>
          <w:divBdr>
            <w:top w:val="none" w:sz="0" w:space="0" w:color="auto"/>
            <w:left w:val="none" w:sz="0" w:space="0" w:color="auto"/>
            <w:bottom w:val="none" w:sz="0" w:space="0" w:color="auto"/>
            <w:right w:val="none" w:sz="0" w:space="0" w:color="auto"/>
          </w:divBdr>
        </w:div>
        <w:div w:id="1629505272">
          <w:marLeft w:val="547"/>
          <w:marRight w:val="0"/>
          <w:marTop w:val="101"/>
          <w:marBottom w:val="0"/>
          <w:divBdr>
            <w:top w:val="none" w:sz="0" w:space="0" w:color="auto"/>
            <w:left w:val="none" w:sz="0" w:space="0" w:color="auto"/>
            <w:bottom w:val="none" w:sz="0" w:space="0" w:color="auto"/>
            <w:right w:val="none" w:sz="0" w:space="0" w:color="auto"/>
          </w:divBdr>
        </w:div>
        <w:div w:id="869800934">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17AA0E6-CDEB-4F4D-B9F8-A02AE2C911C1}"/>
</file>

<file path=customXml/itemProps2.xml><?xml version="1.0" encoding="utf-8"?>
<ds:datastoreItem xmlns:ds="http://schemas.openxmlformats.org/officeDocument/2006/customXml" ds:itemID="{6C3F82B3-DFEB-4BD8-90CF-01A0FDCD1DFA}"/>
</file>

<file path=customXml/itemProps3.xml><?xml version="1.0" encoding="utf-8"?>
<ds:datastoreItem xmlns:ds="http://schemas.openxmlformats.org/officeDocument/2006/customXml" ds:itemID="{A6B2809B-3A69-4AD6-B26D-4E3CA119D77D}"/>
</file>

<file path=docProps/app.xml><?xml version="1.0" encoding="utf-8"?>
<Properties xmlns="http://schemas.openxmlformats.org/officeDocument/2006/extended-properties" xmlns:vt="http://schemas.openxmlformats.org/officeDocument/2006/docPropsVTypes">
  <Template>Normal</Template>
  <TotalTime>13</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nguyenmanhtuan</dc:creator>
  <cp:keywords/>
  <cp:lastModifiedBy>vuhuongtra</cp:lastModifiedBy>
  <cp:revision>3</cp:revision>
  <dcterms:created xsi:type="dcterms:W3CDTF">2018-04-09T12:32:00Z</dcterms:created>
  <dcterms:modified xsi:type="dcterms:W3CDTF">2018-04-09T12:45:00Z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